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18" w:lineRule="auto"/>
        <w:jc w:val="center"/>
        <w:outlineLvl w:val="0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3"/>
          <w:sz w:val="36"/>
          <w:szCs w:val="36"/>
        </w:rPr>
        <w:t>法学院教师教学工作督导评价实施办法</w:t>
      </w:r>
    </w:p>
    <w:bookmarkEnd w:id="0"/>
    <w:p>
      <w:pPr>
        <w:spacing w:line="360" w:lineRule="auto"/>
        <w:rPr>
          <w:rFonts w:hint="eastAsia" w:ascii="方正仿宋_GB2312" w:hAnsi="方正仿宋_GB2312" w:eastAsia="方正仿宋_GB2312" w:cs="方正仿宋_GB2312"/>
          <w:sz w:val="24"/>
          <w:szCs w:val="2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根据《广东工业大学本科教学督导工作规定》 《广东工业大学本科教学质量日常督导与评价办法》《广东工业大学本科教学质量评价实施细则》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结合我院实际，制定本实施办法。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第一条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学院教学督导对学院教师教学工作进行评价，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其评价分值与学校督导、同行专家评价分值共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占教师教学质量评价总分值的10%。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督导对教师教学工作评价应当坚持客观、公正原则。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督导工作围绕以下影响本科教学质量的关键因素和关键环节进行：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课程大纲、教学进度表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教学设计、课程报告(作业)、试题和试卷等；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课堂教学、实践教学现场；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毕业设计开题报告、中期检查报告、中期检查表、指导记录、本科毕业设计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论文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任务书、本科毕业设计评分表、本科毕业论文答辩评分表等；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考试、考查和毕业设计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论文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等资料归档。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第四条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督导工作采取课堂听课、学生访谈、现场巡视以及课程大纲、教学进度表与教学设计等教学资料审阅等形式进行。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第五条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督导对教师教学工作评价根据本实施办法附件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《法学院教师教学工作督导评价指标及评分表》独立进行。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0" distR="0">
            <wp:extent cx="3696335" cy="484505"/>
            <wp:effectExtent l="0" t="0" r="18415" b="1143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第六条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督导对教师教学工作的评价在督导组统一安排下进行。督导应在督导组指定的时间内提交评价结果。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第七条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教务办应配合督导的评价工作，及时提供评价工作所需的教学信息、教学文件。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第八条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被评价教师对督导组的评价有异议的，可通过书面形式向督导组申请复核。督导组复核后将复核结果以书面形式反馈申请人。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第九条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本办法由督导组进行解释。未尽事宜，由督导组补充规定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本办法于202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日生效执行。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附件1: 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en-US"/>
        </w:rPr>
        <w:t>法学院本科教学督导组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成员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en-US"/>
        </w:rPr>
        <w:t>名单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附件2: 《法学院教师教学工作督导评价指标及评分表》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80" w:firstLineChars="200"/>
        <w:textAlignment w:val="baseline"/>
        <w:rPr>
          <w:rFonts w:hint="eastAsia" w:ascii="方正仿宋_GB2312" w:hAnsi="方正仿宋_GB2312" w:eastAsia="方正仿宋_GB2312" w:cs="方正仿宋_GB2312"/>
          <w:sz w:val="24"/>
          <w:szCs w:val="24"/>
        </w:rPr>
        <w:sectPr>
          <w:footerReference r:id="rId5" w:type="default"/>
          <w:pgSz w:w="11900" w:h="16830"/>
          <w:pgMar w:top="2098" w:right="1474" w:bottom="1984" w:left="1587" w:header="0" w:footer="1002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2" w:line="219" w:lineRule="auto"/>
        <w:ind w:left="3"/>
        <w:rPr>
          <w:rFonts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en-US" w:bidi="ar-SA"/>
        </w:rPr>
      </w:pPr>
      <w:r>
        <w:rPr>
          <w:rFonts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en-US" w:bidi="ar-SA"/>
        </w:rPr>
        <w:t>附件1: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en-US" w:bidi="ar-SA"/>
        </w:rPr>
        <w:t>法学院本科教学督导组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zh-CN" w:bidi="ar-SA"/>
        </w:rPr>
        <w:t>成员</w:t>
      </w:r>
      <w:r>
        <w:rPr>
          <w:rFonts w:hint="eastAsia"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en-US" w:bidi="ar-SA"/>
        </w:rPr>
        <w:t>名单</w:t>
      </w:r>
    </w:p>
    <w:p>
      <w:pPr>
        <w:spacing w:line="374" w:lineRule="auto"/>
        <w:rPr>
          <w:rFonts w:ascii="Arial"/>
          <w:sz w:val="21"/>
        </w:rPr>
      </w:pPr>
    </w:p>
    <w:p>
      <w:pPr>
        <w:pStyle w:val="2"/>
        <w:spacing w:before="94" w:line="401" w:lineRule="auto"/>
        <w:ind w:right="158" w:firstLine="680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  <w:t>组长：朱媛媛</w:t>
      </w:r>
    </w:p>
    <w:p>
      <w:pPr>
        <w:pStyle w:val="2"/>
        <w:spacing w:before="94" w:line="401" w:lineRule="auto"/>
        <w:ind w:right="158" w:firstLine="735" w:firstLineChars="300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  <w:t>组员：陈佑武 黄斐斐 朱雅妮 朱媛媛 陈  嘉  甘玉环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  <w:t xml:space="preserve"> 刘  勇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401" w:lineRule="auto"/>
        <w:ind w:left="0" w:leftChars="0" w:right="159" w:firstLine="1393" w:firstLineChars="569"/>
        <w:textAlignment w:val="baseline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  <w:t>杨  凌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  <w:t>阎  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en-US" w:bidi="ar-SA"/>
        </w:rPr>
        <w:t>曾金莲 王丹丹 靳挺宇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401" w:lineRule="auto"/>
        <w:ind w:right="158" w:firstLine="1393" w:firstLineChars="569"/>
        <w:textAlignment w:val="baseline"/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sz w:val="24"/>
          <w:szCs w:val="24"/>
          <w:lang w:val="en-US" w:eastAsia="en-US" w:bidi="ar-SA"/>
        </w:rPr>
        <w:sectPr>
          <w:footerReference r:id="rId6" w:type="default"/>
          <w:pgSz w:w="11900" w:h="16830"/>
          <w:pgMar w:top="2098" w:right="1474" w:bottom="1984" w:left="1587" w:header="0" w:footer="782" w:gutter="0"/>
          <w:cols w:space="0" w:num="1"/>
          <w:rtlGutter w:val="0"/>
          <w:docGrid w:type="linesAndChars" w:linePitch="0" w:charSpace="1143"/>
        </w:sectPr>
      </w:pPr>
    </w:p>
    <w:p>
      <w:pPr>
        <w:pStyle w:val="2"/>
        <w:spacing w:before="47" w:line="480" w:lineRule="auto"/>
        <w:ind w:left="148"/>
        <w:rPr>
          <w:rFonts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en-US" w:bidi="ar-SA"/>
        </w:rPr>
      </w:pPr>
      <w:r>
        <w:rPr>
          <w:rFonts w:ascii="仿宋" w:hAnsi="仿宋" w:eastAsia="仿宋" w:cs="仿宋"/>
          <w:b/>
          <w:bCs/>
          <w:snapToGrid w:val="0"/>
          <w:color w:val="000000"/>
          <w:spacing w:val="4"/>
          <w:kern w:val="0"/>
          <w:sz w:val="24"/>
          <w:szCs w:val="24"/>
          <w:lang w:val="en-US" w:eastAsia="en-US" w:bidi="ar-SA"/>
        </w:rPr>
        <w:t>附件2:法学院教师教学工作督导评价指标及评分表</w:t>
      </w:r>
    </w:p>
    <w:p>
      <w:pPr>
        <w:spacing w:before="1" w:line="217" w:lineRule="auto"/>
        <w:ind w:left="13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b/>
          <w:bCs/>
          <w:spacing w:val="-7"/>
          <w:sz w:val="23"/>
          <w:szCs w:val="23"/>
        </w:rPr>
        <w:t>被评价教师：</w:t>
      </w:r>
    </w:p>
    <w:p>
      <w:pPr>
        <w:spacing w:before="57"/>
      </w:pPr>
    </w:p>
    <w:tbl>
      <w:tblPr>
        <w:tblStyle w:val="5"/>
        <w:tblW w:w="11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4"/>
        <w:gridCol w:w="8533"/>
        <w:gridCol w:w="110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434" w:type="dxa"/>
            <w:vAlign w:val="top"/>
          </w:tcPr>
          <w:p>
            <w:pPr>
              <w:pStyle w:val="6"/>
              <w:spacing w:before="31" w:line="203" w:lineRule="auto"/>
              <w:ind w:left="468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模块</w:t>
            </w:r>
          </w:p>
        </w:tc>
        <w:tc>
          <w:tcPr>
            <w:tcW w:w="8533" w:type="dxa"/>
            <w:vAlign w:val="top"/>
          </w:tcPr>
          <w:p>
            <w:pPr>
              <w:pStyle w:val="6"/>
              <w:spacing w:before="32" w:line="202" w:lineRule="auto"/>
              <w:ind w:left="4034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指标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31" w:line="203" w:lineRule="auto"/>
              <w:ind w:left="311"/>
              <w:rPr>
                <w:sz w:val="21"/>
                <w:szCs w:val="21"/>
              </w:rPr>
            </w:pPr>
            <w:r>
              <w:rPr>
                <w:b/>
                <w:bCs/>
                <w:spacing w:val="-6"/>
                <w:sz w:val="21"/>
                <w:szCs w:val="21"/>
              </w:rPr>
              <w:t>分值</w:t>
            </w:r>
          </w:p>
        </w:tc>
        <w:tc>
          <w:tcPr>
            <w:tcW w:w="884" w:type="dxa"/>
            <w:vAlign w:val="top"/>
          </w:tcPr>
          <w:p>
            <w:pPr>
              <w:pStyle w:val="6"/>
              <w:spacing w:before="32" w:line="202" w:lineRule="auto"/>
              <w:ind w:left="222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3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spacing w:line="359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78" w:line="228" w:lineRule="auto"/>
              <w:ind w:left="204" w:right="168" w:hanging="4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</w:t>
            </w: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教学投入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9"/>
                <w:sz w:val="21"/>
                <w:szCs w:val="21"/>
              </w:rPr>
              <w:t>(30%)</w:t>
            </w:r>
          </w:p>
        </w:tc>
        <w:tc>
          <w:tcPr>
            <w:tcW w:w="8533" w:type="dxa"/>
            <w:vAlign w:val="top"/>
          </w:tcPr>
          <w:p>
            <w:pPr>
              <w:pStyle w:val="6"/>
              <w:spacing w:before="48" w:line="208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教师对所授学科的知识储备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13" w:line="158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60" w:line="214" w:lineRule="auto"/>
              <w:ind w:left="1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1.2</w:t>
            </w: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教师对所授课程的热忱度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23" w:line="166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62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1.3</w:t>
            </w: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教师上课准备的充分程度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23" w:line="166" w:lineRule="auto"/>
              <w:ind w:left="428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10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52" w:line="205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教师对学生作业、表现的及时反馈情况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14" w:line="157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63" w:line="213" w:lineRule="auto"/>
              <w:ind w:left="1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1.5</w:t>
            </w: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教师课后指导学生的意愿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25" w:line="165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42" w:line="206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教师提供或引导学生自主寻找学习资源，营造积极学习氛围的情况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05" w:line="157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34" w:type="dxa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jc w:val="center"/>
              <w:rPr>
                <w:rFonts w:ascii="Arial"/>
                <w:sz w:val="21"/>
                <w:szCs w:val="21"/>
              </w:rPr>
            </w:pPr>
          </w:p>
          <w:p>
            <w:pPr>
              <w:pStyle w:val="6"/>
              <w:spacing w:before="78" w:line="236" w:lineRule="auto"/>
              <w:ind w:left="224" w:right="164" w:hanging="6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</w:t>
            </w: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教学效果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9"/>
                <w:sz w:val="21"/>
                <w:szCs w:val="21"/>
              </w:rPr>
              <w:t>(60%)</w:t>
            </w:r>
          </w:p>
        </w:tc>
        <w:tc>
          <w:tcPr>
            <w:tcW w:w="8533" w:type="dxa"/>
            <w:vAlign w:val="top"/>
          </w:tcPr>
          <w:p>
            <w:pPr>
              <w:pStyle w:val="6"/>
              <w:spacing w:before="63" w:line="212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教师课程讲解的清晰性及易懂性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24" w:line="165" w:lineRule="auto"/>
              <w:ind w:left="428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15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55" w:line="203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课程教学内容的高阶性、创新性和挑战度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15" w:line="204" w:lineRule="exact"/>
              <w:ind w:left="428"/>
              <w:rPr>
                <w:sz w:val="21"/>
                <w:szCs w:val="21"/>
              </w:rPr>
            </w:pPr>
            <w:r>
              <w:rPr>
                <w:spacing w:val="-7"/>
                <w:position w:val="-2"/>
                <w:sz w:val="21"/>
                <w:szCs w:val="21"/>
              </w:rPr>
              <w:t>10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66" w:line="210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考核项目及形式(如考试、作业、论文、项目)激励学生努力学习的情况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27" w:line="163" w:lineRule="auto"/>
              <w:ind w:left="428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10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56" w:line="202" w:lineRule="auto"/>
              <w:ind w:left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课程目标达成情况及针对性改进情况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18" w:line="201" w:lineRule="exact"/>
              <w:ind w:left="428"/>
              <w:rPr>
                <w:sz w:val="21"/>
                <w:szCs w:val="21"/>
              </w:rPr>
            </w:pPr>
            <w:r>
              <w:rPr>
                <w:spacing w:val="-4"/>
                <w:position w:val="-2"/>
                <w:sz w:val="21"/>
                <w:szCs w:val="21"/>
              </w:rPr>
              <w:t>25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98" w:line="231" w:lineRule="auto"/>
              <w:ind w:left="234" w:right="164" w:hanging="7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</w:t>
            </w: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教学规范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9"/>
                <w:sz w:val="21"/>
                <w:szCs w:val="21"/>
              </w:rPr>
              <w:t>(10%)</w:t>
            </w:r>
          </w:p>
        </w:tc>
        <w:tc>
          <w:tcPr>
            <w:tcW w:w="8533" w:type="dxa"/>
            <w:vAlign w:val="top"/>
          </w:tcPr>
          <w:p>
            <w:pPr>
              <w:pStyle w:val="6"/>
              <w:spacing w:before="67" w:line="210" w:lineRule="auto"/>
              <w:ind w:left="120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3.1</w:t>
            </w:r>
            <w:r>
              <w:rPr>
                <w:rFonts w:hint="eastAsia"/>
                <w:spacing w:val="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教学规范执行情况(含课程授课过程、课程考核、课程资料存档、监考等)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30" w:line="161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533" w:type="dxa"/>
            <w:vAlign w:val="top"/>
          </w:tcPr>
          <w:p>
            <w:pPr>
              <w:pStyle w:val="6"/>
              <w:spacing w:before="67" w:line="209" w:lineRule="auto"/>
              <w:ind w:left="12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3.2</w:t>
            </w:r>
            <w:r>
              <w:rPr>
                <w:rFonts w:hint="eastAsia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课程教学目标达成情况分析(教师教学提升的</w:t>
            </w:r>
            <w:r>
              <w:rPr>
                <w:spacing w:val="1"/>
                <w:sz w:val="21"/>
                <w:szCs w:val="21"/>
              </w:rPr>
              <w:t>努力情况)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31" w:line="160" w:lineRule="auto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967" w:type="dxa"/>
            <w:gridSpan w:val="2"/>
            <w:vAlign w:val="top"/>
          </w:tcPr>
          <w:p>
            <w:pPr>
              <w:pStyle w:val="6"/>
              <w:spacing w:before="48" w:line="201" w:lineRule="auto"/>
              <w:ind w:left="94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分值</w:t>
            </w:r>
          </w:p>
        </w:tc>
        <w:tc>
          <w:tcPr>
            <w:tcW w:w="1109" w:type="dxa"/>
            <w:vAlign w:val="top"/>
          </w:tcPr>
          <w:p>
            <w:pPr>
              <w:pStyle w:val="6"/>
              <w:spacing w:before="109" w:line="201" w:lineRule="exact"/>
              <w:ind w:left="368"/>
              <w:rPr>
                <w:sz w:val="21"/>
                <w:szCs w:val="21"/>
              </w:rPr>
            </w:pPr>
            <w:r>
              <w:rPr>
                <w:spacing w:val="-7"/>
                <w:position w:val="-2"/>
                <w:sz w:val="21"/>
                <w:szCs w:val="21"/>
              </w:rPr>
              <w:t>100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1960" w:type="dxa"/>
            <w:gridSpan w:val="4"/>
            <w:vAlign w:val="top"/>
          </w:tcPr>
          <w:p>
            <w:pPr>
              <w:pStyle w:val="6"/>
              <w:spacing w:before="167" w:line="219" w:lineRule="auto"/>
              <w:ind w:left="7444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督导(签章):</w:t>
            </w:r>
          </w:p>
          <w:p>
            <w:pPr>
              <w:pStyle w:val="6"/>
              <w:spacing w:before="177" w:line="219" w:lineRule="auto"/>
              <w:ind w:left="8075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20</w:t>
            </w:r>
            <w:r>
              <w:rPr>
                <w:spacing w:val="12"/>
                <w:sz w:val="21"/>
                <w:szCs w:val="21"/>
              </w:rPr>
              <w:t xml:space="preserve">  </w:t>
            </w:r>
            <w:r>
              <w:rPr>
                <w:spacing w:val="-7"/>
                <w:sz w:val="21"/>
                <w:szCs w:val="21"/>
              </w:rPr>
              <w:t>年</w:t>
            </w:r>
            <w:r>
              <w:rPr>
                <w:spacing w:val="11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月</w:t>
            </w:r>
            <w:r>
              <w:rPr>
                <w:spacing w:val="23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6830" w:h="11900"/>
      <w:pgMar w:top="984" w:right="2524" w:bottom="400" w:left="13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B035C95-6D2A-4D55-A6E8-69F2268465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690D808-CC93-4122-B2AB-76A3E343ECE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26D31B3-487F-48FA-B412-64F20955411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21796C8-A8BE-41BC-9419-45CD1737E0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79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left="4479"/>
      <w:rPr>
        <w:rFonts w:ascii="宋体" w:hAnsi="宋体" w:eastAsia="宋体" w:cs="宋体"/>
        <w:sz w:val="10"/>
        <w:szCs w:val="10"/>
      </w:rPr>
    </w:pPr>
    <w:r>
      <w:rPr>
        <w:rFonts w:ascii="宋体" w:hAnsi="宋体" w:eastAsia="宋体" w:cs="宋体"/>
        <w:sz w:val="10"/>
        <w:szCs w:val="1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rawingGridHorizontalSpacing w:val="108"/>
  <w:drawingGridVerticalSpacing w:val="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xYzZjZGJmOGNlNTBkZGFjNTJjYzY5OGQ2OWNlODIifQ=="/>
  </w:docVars>
  <w:rsids>
    <w:rsidRoot w:val="00000000"/>
    <w:rsid w:val="015D1393"/>
    <w:rsid w:val="01F114A6"/>
    <w:rsid w:val="04EE6482"/>
    <w:rsid w:val="0592672F"/>
    <w:rsid w:val="0959521C"/>
    <w:rsid w:val="0B415214"/>
    <w:rsid w:val="11C12C43"/>
    <w:rsid w:val="195C1195"/>
    <w:rsid w:val="1B80591D"/>
    <w:rsid w:val="1C6F14EE"/>
    <w:rsid w:val="1D385D84"/>
    <w:rsid w:val="200040CC"/>
    <w:rsid w:val="22FF35CB"/>
    <w:rsid w:val="28EE6D54"/>
    <w:rsid w:val="2D2751F5"/>
    <w:rsid w:val="2DE33AEA"/>
    <w:rsid w:val="2E2F5589"/>
    <w:rsid w:val="2F2B74F6"/>
    <w:rsid w:val="306E1D90"/>
    <w:rsid w:val="34012F1B"/>
    <w:rsid w:val="34DD74E5"/>
    <w:rsid w:val="36767924"/>
    <w:rsid w:val="38A87E0A"/>
    <w:rsid w:val="3C793F97"/>
    <w:rsid w:val="40583A54"/>
    <w:rsid w:val="407F58F4"/>
    <w:rsid w:val="40DE261A"/>
    <w:rsid w:val="41526B64"/>
    <w:rsid w:val="43C639D7"/>
    <w:rsid w:val="4447497A"/>
    <w:rsid w:val="456377EE"/>
    <w:rsid w:val="4970227E"/>
    <w:rsid w:val="4B11183E"/>
    <w:rsid w:val="4B9F639D"/>
    <w:rsid w:val="4BF50BE1"/>
    <w:rsid w:val="4CF956CF"/>
    <w:rsid w:val="4EA053B3"/>
    <w:rsid w:val="515661FD"/>
    <w:rsid w:val="57315742"/>
    <w:rsid w:val="5A981634"/>
    <w:rsid w:val="5BDD5BE0"/>
    <w:rsid w:val="660D737A"/>
    <w:rsid w:val="67F105D6"/>
    <w:rsid w:val="68152516"/>
    <w:rsid w:val="6A846EB0"/>
    <w:rsid w:val="6E4A0A40"/>
    <w:rsid w:val="6EC46A44"/>
    <w:rsid w:val="7075012D"/>
    <w:rsid w:val="7E1C41A7"/>
    <w:rsid w:val="7E374B3D"/>
    <w:rsid w:val="7FC54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2024-01-08T18:52:00Z</dcterms:created>
  <dc:creator>Kingsoft-PDF</dc:creator>
  <cp:lastModifiedBy>一朝</cp:lastModifiedBy>
  <dcterms:modified xsi:type="dcterms:W3CDTF">2024-01-10T08:04:08Z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2024-01-08T18:52:05Z</vt:filetime>
  </property>
  <property fmtid="{D5CDD505-2E9C-101B-9397-08002B2CF9AE}" pid="4" name="UsrData">
    <vt:lpwstr>659bd3d3f23622001f878f1ewl</vt:lpwstr>
  </property>
  <property fmtid="{D5CDD505-2E9C-101B-9397-08002B2CF9AE}" pid="5" name="KSOProductBuildVer">
    <vt:lpwstr>2052-12.1.0.16120</vt:lpwstr>
  </property>
  <property fmtid="{D5CDD505-2E9C-101B-9397-08002B2CF9AE}" pid="6" name="ICV">
    <vt:lpwstr>C23A853C37464BA8B730CE855D47BFE9_13</vt:lpwstr>
  </property>
</Properties>
</file>